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false"/>
        <w:bidi w:val="0"/>
        <w:spacing w:lineRule="auto" w:line="240" w:before="0" w:after="0"/>
        <w:ind w:hanging="0" w:left="7143" w:right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>
      <w:pPr>
        <w:pStyle w:val="Normal"/>
        <w:suppressAutoHyphens w:val="true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ИНФОРМАЦИЯ</w:t>
      </w:r>
      <w:r>
        <w:rPr>
          <w:color w:val="000000"/>
          <w:sz w:val="24"/>
          <w:szCs w:val="24"/>
        </w:rPr>
        <w:t xml:space="preserve"> </w:t>
      </w:r>
    </w:p>
    <w:p>
      <w:pPr>
        <w:pStyle w:val="Normal"/>
        <w:suppressAutoHyphens w:val="true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 </w:t>
      </w:r>
      <w:r>
        <w:rPr>
          <w:rFonts w:eastAsia="Calibri" w:cs="Times New Roman"/>
          <w:sz w:val="24"/>
          <w:szCs w:val="24"/>
        </w:rPr>
        <w:t xml:space="preserve">исполнении решений Координационного совета по обеспечению доступа негосударственных </w:t>
      </w:r>
    </w:p>
    <w:p>
      <w:pPr>
        <w:pStyle w:val="Normal"/>
        <w:suppressAutoHyphens w:val="true"/>
        <w:spacing w:lineRule="auto" w:line="240" w:before="0" w:after="0"/>
        <w:jc w:val="center"/>
        <w:rPr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организаций к предоставлению социальных услуг в Омской области </w:t>
      </w:r>
    </w:p>
    <w:p>
      <w:pPr>
        <w:pStyle w:val="Normal"/>
        <w:suppressAutoHyphens w:val="true"/>
        <w:spacing w:lineRule="auto" w:line="240" w:before="0" w:after="0"/>
        <w:jc w:val="center"/>
        <w:rPr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(далее – Координационный </w:t>
      </w:r>
      <w:r>
        <w:rPr>
          <w:rFonts w:eastAsia="Calibri" w:cs="Times New Roman"/>
          <w:color w:themeColor="text1" w:val="000000"/>
          <w:sz w:val="24"/>
          <w:szCs w:val="24"/>
        </w:rPr>
        <w:t>совет)</w:t>
      </w:r>
    </w:p>
    <w:p>
      <w:pPr>
        <w:pStyle w:val="Normal"/>
        <w:suppressAutoHyphens w:val="true"/>
        <w:spacing w:lineRule="auto" w:line="240" w:before="0" w:after="0"/>
        <w:jc w:val="center"/>
        <w:rPr>
          <w:color w:themeColor="text1" w:val="000000"/>
          <w:sz w:val="12"/>
          <w:szCs w:val="12"/>
        </w:rPr>
      </w:pPr>
      <w:r>
        <w:rPr>
          <w:color w:themeColor="text1" w:val="000000"/>
          <w:sz w:val="12"/>
          <w:szCs w:val="12"/>
        </w:rPr>
      </w:r>
    </w:p>
    <w:tbl>
      <w:tblPr>
        <w:tblStyle w:val="a3"/>
        <w:tblW w:w="15168" w:type="dxa"/>
        <w:jc w:val="left"/>
        <w:tblInd w:w="-81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/>
      </w:tblPr>
      <w:tblGrid>
        <w:gridCol w:w="424"/>
        <w:gridCol w:w="1361"/>
        <w:gridCol w:w="2665"/>
        <w:gridCol w:w="2833"/>
        <w:gridCol w:w="7885"/>
      </w:tblGrid>
      <w:tr>
        <w:trPr>
          <w:tblHeader w:val="true"/>
        </w:trPr>
        <w:tc>
          <w:tcPr>
            <w:tcW w:w="4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color w:themeColor="text1" w:val="000000"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color w:themeColor="text1" w:val="000000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136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color w:themeColor="text1" w:val="000000"/>
                <w:kern w:val="0"/>
                <w:sz w:val="24"/>
                <w:szCs w:val="24"/>
                <w:lang w:val="ru-RU" w:eastAsia="en-US" w:bidi="ar-SA"/>
              </w:rPr>
              <w:t>Пункт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color w:themeColor="text1" w:val="000000"/>
                <w:kern w:val="0"/>
                <w:sz w:val="24"/>
                <w:szCs w:val="24"/>
                <w:lang w:val="ru-RU" w:eastAsia="en-US" w:bidi="ar-SA"/>
              </w:rPr>
              <w:t>протокола</w:t>
            </w:r>
          </w:p>
        </w:tc>
        <w:tc>
          <w:tcPr>
            <w:tcW w:w="26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color w:themeColor="text1" w:val="000000"/>
                <w:kern w:val="0"/>
                <w:sz w:val="24"/>
                <w:szCs w:val="24"/>
                <w:lang w:val="ru-RU" w:eastAsia="en-US" w:bidi="ar-SA"/>
              </w:rPr>
              <w:t>Содержание поручения</w:t>
            </w:r>
          </w:p>
        </w:tc>
        <w:tc>
          <w:tcPr>
            <w:tcW w:w="283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color w:themeColor="text1" w:val="000000"/>
                <w:kern w:val="0"/>
                <w:sz w:val="24"/>
                <w:szCs w:val="24"/>
                <w:lang w:val="ru-RU" w:eastAsia="en-US" w:bidi="ar-SA"/>
              </w:rPr>
              <w:t>Ответственные</w:t>
            </w:r>
          </w:p>
        </w:tc>
        <w:tc>
          <w:tcPr>
            <w:tcW w:w="78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color w:themeColor="text1" w:val="000000"/>
                <w:kern w:val="0"/>
                <w:sz w:val="24"/>
                <w:szCs w:val="24"/>
                <w:lang w:val="ru-RU" w:eastAsia="en-US" w:bidi="ar-SA"/>
              </w:rPr>
              <w:t>Информация об исполнении</w:t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center"/>
        <w:rPr>
          <w:rFonts w:cs="Times New Roman"/>
          <w:sz w:val="2"/>
          <w:szCs w:val="2"/>
        </w:rPr>
      </w:pPr>
      <w:r>
        <w:rPr>
          <w:rFonts w:cs="Times New Roman"/>
          <w:sz w:val="2"/>
          <w:szCs w:val="2"/>
        </w:rPr>
      </w:r>
    </w:p>
    <w:tbl>
      <w:tblPr>
        <w:tblStyle w:val="a3"/>
        <w:tblW w:w="15109" w:type="dxa"/>
        <w:jc w:val="left"/>
        <w:tblInd w:w="-81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/>
      </w:tblPr>
      <w:tblGrid>
        <w:gridCol w:w="424"/>
        <w:gridCol w:w="1360"/>
        <w:gridCol w:w="2665"/>
        <w:gridCol w:w="2833"/>
        <w:gridCol w:w="7827"/>
      </w:tblGrid>
      <w:tr>
        <w:trPr>
          <w:tblHeader w:val="true"/>
        </w:trPr>
        <w:tc>
          <w:tcPr>
            <w:tcW w:w="4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3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26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283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78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15109" w:type="dxa"/>
            <w:gridSpan w:val="5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 w:left="644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Протокол заседания Координационного совета от 27 сентября 2024 года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57" w:left="357"/>
              <w:contextualSpacing/>
              <w:jc w:val="center"/>
              <w:rPr>
                <w:rFonts w:ascii="Times New Roman" w:hAnsi="Times New Roman"/>
                <w:color w:themeColor="text1"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  <w:szCs w:val="24"/>
              </w:rPr>
            </w:r>
          </w:p>
        </w:tc>
        <w:tc>
          <w:tcPr>
            <w:tcW w:w="136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 вопроса № 1</w:t>
            </w:r>
          </w:p>
        </w:tc>
        <w:tc>
          <w:tcPr>
            <w:tcW w:w="26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- </w:t>
            </w:r>
            <w:r>
              <w:rPr>
                <w:bCs/>
                <w:color w:val="000000"/>
                <w:spacing w:val="-2"/>
                <w:sz w:val="24"/>
                <w:szCs w:val="24"/>
                <w:shd w:fill="auto" w:val="clear"/>
              </w:rPr>
              <w:t>в срок до 1 июня 2025 года про</w:t>
            </w:r>
            <w:r>
              <w:rPr>
                <w:bCs/>
                <w:color w:val="000000"/>
                <w:spacing w:val="-2"/>
                <w:sz w:val="24"/>
                <w:szCs w:val="24"/>
              </w:rPr>
              <w:t>вести встречи с руководителями ресурсных центров и некоммерческих организаций (далее – НКО) по вопросам участия НКО в реализации национальных проектов Российской Федерации на территории Омской области, региональных проектов и приоритетных направлений деятельности органов власти</w:t>
            </w:r>
          </w:p>
        </w:tc>
        <w:tc>
          <w:tcPr>
            <w:tcW w:w="283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Министерство внутренней политики Омской области (далее – МВП), Министерство труда и социального развития Омской области (далее – МТСР), Министерство культуры Омской области (далее – МКТ), Министерство здравоохранения Омской области (далее – МЗДР), Министерство образования Омской области (далее – МОБР), Министерство спорта Омской области (далее – МСОО), Министерство экономического развития Омской области (далее – МЭК), Министерство имущественных отношений Омской области (далее – МИО), Министерство финансов Омской области, Главное управление молодежной политики Омской области (далее – ГУМП)</w:t>
            </w:r>
          </w:p>
        </w:tc>
        <w:tc>
          <w:tcPr>
            <w:tcW w:w="782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В рамках проекта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Школа лидеров социальных изменений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, реализуемого в период с 27 сентября 2024 года по 30 июня 2025 года Омской региональной общественной организацией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Центр инноваций социальной сферы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при поддержке </w:t>
            </w:r>
            <w:r>
              <w:rPr>
                <w:rFonts w:eastAsia="Times New Roman" w:cs="Times New Roman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>МВП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, было проведено обучение представителей</w:t>
              <w:br/>
              <w:t xml:space="preserve">10 ресурсных центров крупных НКО из г. Омска, Шербакульского, Оконешниковского, Исилькульского, Тюкалинского, Русско-Полянского, Нововаршавского, Павлоградского, Называевского и Черлакского муниципальных районов Омской области в количестве 15 человек. В ходе обучения представителями ресурсных центров и НКО рассматривались вопросы участия НКО в реализации приоритетных национальных проектов: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Семья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,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Молодежь и дети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,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Продолжительное и активное долголетие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,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Экологическое благополучие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. 14 января 2025 года МВП был организован информационно-методический семинар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Участие в конкурсных отборах Фонда президентских грантов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для глав муниципальных районов Омской области с привлечением федеральных экспертов Фонда Сербиной Ирины Владимировны и Зиновьевой Жанар Калижановны, а также специалистов отдела по взаимодействию с институтами гражданского общества МВП. В рамках семинара были рассмотрены приоритетные для региона тематические направления, приведены примеры поддержанных Фондом проектов, направленных на развитие сельских территорий. В указанном семинаре приняли участие</w:t>
              <w:br/>
              <w:t>54 представителя администраций 31 муниципального района Омской области. В I квартале 2025 года МВП проведено 4 выездных информационно-методических семинара по зональному принципу для НКО, зарегистрированных на территориях муниципальных районов Омской области, с участием федеральных экспертов и специалистов отдела по взаимодействию с институтами гражданского общества МВП, участие в которых приняло более 250 человек из 30 муниципальных районов Омской области. 3 апреля в г</w:t>
            </w:r>
            <w:bookmarkStart w:id="0" w:name="_GoBack_Копия_3"/>
            <w:bookmarkEnd w:id="0"/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ороде Омске прошел информационно-методический семинар, посвященный грантовой поддержке СОНКО. В семинаре приняли участие очно 88 человек и 74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–</w:t>
              <w:br/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в онлайн-режиме. </w:t>
            </w: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Представителям НКО продемонстрирован алгоритм создания личного кабинета НКО на Портале государственных услуг, процесс наполнения его информацией, а также предоставления отчета и размещения устава на интернет-ресурсе. Кроме того, в рамках семинара освещены вопросы, касающиеся получения усиленной квалифицированной электронной подписи. Приведены типичные нарушения, выявляемые по результатам контроля за деятельностью НКО, а также при предоставлении отчетов.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информации </w:t>
            </w:r>
            <w:r>
              <w:rPr>
                <w:b w:val="false"/>
                <w:bCs w:val="false"/>
                <w:color w:val="000000"/>
                <w:sz w:val="24"/>
                <w:szCs w:val="24"/>
              </w:rPr>
              <w:t>МЗДР</w:t>
            </w:r>
            <w:r>
              <w:rPr>
                <w:color w:val="000000"/>
                <w:sz w:val="24"/>
                <w:szCs w:val="24"/>
              </w:rPr>
              <w:t>, в 2025 году осуществлялось привлечение 4 социально ориентированных некоммерческих организаций (далее – СОНКО) к мероприятиям по профилактике ВИЧ-инфекций, гепатита В и С: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автономной некоммерческой организации (далее – АНО) "Центр социальных услуг "Все в твоих руках";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АНО "Выбери жизнь";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АНО "Центр формирования здорового образа жизни "Здоровье нации";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Омского регионального общественного движения "Омская молодежь".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Бюджетным учреждением здравоохранения Омской области (далее – БУЗОО) "Центр по профилактике и борьбе со СПИД и инфекционными заболеваниями" в 2025 году продолжена работа по оказанию СОНКО, волонтерским организациям методической, консультационной и информационной поддержки, проведено 8 консультаций для представителей СОНКО по выполнению мероприятий в рамках государственных контрактов. В 2025 году специалистами БУЗОО "Областной центр общественного здоровья и медицинской профилактики" (далее – "ОЦОЗМП") проведены консультации для 4 СОНКО по вопросам оказания услуг в сфере охраны здоровья населения. В 2025 году в качестве социальных партнеров при реализации профилактических мероприятий, организованных "ОЦОЗМП", выступили: Всероссийское общественное движение "Волонтеры-медики" (региональное отделение), региональное отделение Общероссийской общественной организации "Союз пенсионеров России" по Омской области, Омская городская общественная организация "Совет ветеранов и пенсионеров", Фонд развития Омской области им. С.И. Манякина. С привлечением СОНКО организованы и проведены 8 массовых мероприятий: площадка "ЗОЖ – вклад в долголетие", для 2-х трудовых коллективов – площадка "Проверь свое здоровье", флешмоб "Зарядкой зарядись", площадка "Наше здоровье зависит от нас", интерактив "ЗОЖ коротко о важном", 2 мероприятия по повышению физической активности работников трудовых коллективов "Офисная гимнастика", всего в мероприятиях приняли участие 1 197 человек. С целью подготовки сотрудников и добровольцев, включая волонтеров "серебряного" возраста, для последующей работы с различными группами населения региона БУЗОО "ОЦОЗМП" в 2025 году проведено 2 обучающих семинара по темам: "Организация и проведение мероприятий в рамках Всемирного дня здоровья" и "Знай цифры своего АД", количество участников – 31 человек.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МИО </w:t>
            </w:r>
            <w:r>
              <w:rPr>
                <w:rFonts w:eastAsia="Calibri" w:cs=""/>
                <w:bCs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>в реализации национальных проектов Российской Федерации на территории Омской области и региональных проектов совместно с НКО не участвует. МИО</w:t>
            </w: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оказывает НКО имущественную поддержку в виде предоставления имущества Омской области в аренду, безвозмездное пользование без проведения торгов для осуществления НКО видов деятельности, предусмотренных </w:t>
            </w:r>
            <w:bookmarkStart w:id="1" w:name="_GoBack"/>
            <w:bookmarkEnd w:id="1"/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>учредительными документами.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Сотрудники МКТ 28 января 2024 года в приняли участие в переговорной площадке "Возможности реализации социокультурных проектов выпускников Школы социальных инноваций в рамках национального проекта "Семья". </w:t>
            </w:r>
            <w:r>
              <w:rPr>
                <w:color w:val="000000"/>
                <w:sz w:val="24"/>
                <w:szCs w:val="24"/>
              </w:rPr>
              <w:t>Мероприятие было организовано на площадке Омской региональной общественной организации "Центр инноваций социальной сферы".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/>
                <w:bCs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 xml:space="preserve">СОНКО на постоянной основе оповещаются и привлекаются к реализации национальных проектов Российской Федерации на территории Омской области, региональных проектов и мероприятий, организованных </w:t>
            </w:r>
            <w:r>
              <w:rPr>
                <w:rFonts w:eastAsia="Calibri" w:cs=""/>
                <w:b w:val="false"/>
                <w:bCs w:val="false"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>МОБР</w:t>
            </w:r>
            <w:r>
              <w:rPr>
                <w:rFonts w:eastAsia="Calibri" w:cs=""/>
                <w:bCs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 xml:space="preserve">. Так, в рамках федерального проекта "Содействие занятости" национального проекта "Демография" (далее –проект) в 2020 – 2024 годах МОБР с 11 СОНКО, реализующими программы дошкольного образования, </w:t>
            </w:r>
            <w:bookmarkStart w:id="2" w:name="_GoBack_Копия_2"/>
            <w:bookmarkEnd w:id="2"/>
            <w:r>
              <w:rPr>
                <w:rFonts w:eastAsia="Calibri" w:cs=""/>
                <w:bCs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>создано</w:t>
              <w:br/>
              <w:t>409 дополнительных мест для детей до 3 лет. В настоящее время п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роект завершен.</w:t>
            </w:r>
            <w:bookmarkStart w:id="3" w:name="_GoBack_Копия_1"/>
            <w:bookmarkEnd w:id="3"/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Более 200 СОНКО в сфере образования подготовили и направили проекты на грантовую поддержку Президентского фонда культурных инициатив и Фонда Президентских грантов в 2025 году.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целях реализации в 2025 – 2030 годах мероприятий федерального проекта "Старшее поколение" национального проекта "Семья", направленного на обеспечение роста продолжительности здоровой жизни граждан старшего поколения и увеличение периода активного долголетия, в Омской области распоряжением Правительства Омской области от 13 февраля 2025 года № 19-рп утверждена региональная программа "Активное долголетие" (далее – программа).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целях реализации мероприятий программы среди граждан старшего поколения </w:t>
            </w:r>
            <w:r>
              <w:rPr>
                <w:b w:val="false"/>
                <w:bCs w:val="false"/>
                <w:color w:val="000000"/>
                <w:sz w:val="24"/>
                <w:szCs w:val="24"/>
              </w:rPr>
              <w:t>МСОО</w:t>
            </w:r>
            <w:r>
              <w:rPr>
                <w:color w:val="000000"/>
                <w:sz w:val="24"/>
                <w:szCs w:val="24"/>
              </w:rPr>
              <w:t xml:space="preserve"> взаимодействует с региональным отделением общероссийской общественной организации "Союз пенсионеров России" по Омской области (далее – Союз пенсионеров), которое оказывает содействие по участию граждан старшего поколения в спортивных мероприятиях: всероссийская массовая лыжная гонка "Лыжня России", Всероссийский день бега "Кросс наций", Всероссийский день ходьбы, Сибирский международный марафон, Спартакиада пенсионеров Омской области и другие.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За период с 1 октября 2024 года по настоящее время представителями МСОО проведено три встречи с руководителем Союза пенсионеров.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В целях реализации приоритетных направлений деятельности МСОО на регулярной основе взаимодействует с региональными спортивными федерациями по следующим основным направлениям: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 развитие видов спорта на территории Омской области;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 формирование календарного плана физкультурных и спортивных мероприятий Омской области и их проведение по соответствующим видам спорта;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 комплектование спортивных сборных команд Омской области по видам спорта;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 организация и проведение семинаров, научно-практических конференций, круглых столов и т.д.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2024 году впервые были проведены значимые спортивные события: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 международные соревнования по спортивной борьбе (дисциплина – греко-римская борьба) "Сила традиций" (далее – международные соревнования);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 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Ростелеком – Чемпионат России 2025 по фигурному катанию на коньках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(далее – чемпионат России)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При подготовке к проведению международных соревнований проведено пять встреч с участием директора Новосибирского регионального общественного фонда "Карелин-Фонд" и президента Омской региональной общественной организацией "Федерация спортивной борьбы Омской области". В рамках организации чемпионата России проведены три встречи с участием генерального директора </w:t>
            </w:r>
            <w:r>
              <w:rPr>
                <w:rFonts w:cs="Times New Roman"/>
                <w:color w:val="000000"/>
                <w:sz w:val="24"/>
                <w:szCs w:val="24"/>
                <w:shd w:fill="FFFFFF" w:val="clear"/>
              </w:rPr>
              <w:t>Общероссийской общественной организации "Федерация фигурного катания на коньках России".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2025 году МСОО продолжило взаимодействие с региональными спортивными федерациями: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left"/>
              <w:rPr/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- при организации и проведении на территории Омской области </w:t>
            </w:r>
            <w:r>
              <w:rPr>
                <w:rStyle w:val="Fontstyle01"/>
                <w:rFonts w:cs="Times New Roman"/>
                <w:color w:val="000000"/>
                <w:sz w:val="24"/>
                <w:szCs w:val="24"/>
              </w:rPr>
              <w:t xml:space="preserve">Кубка России по кикбоксингу и всероссийских соревнований по кикбоксингу была проведена встреча с председателем </w:t>
            </w:r>
            <w:r>
              <w:rPr>
                <w:rFonts w:cs="Times New Roman"/>
                <w:color w:val="000000"/>
                <w:sz w:val="24"/>
                <w:szCs w:val="24"/>
              </w:rPr>
              <w:t>Омского областного регионального отделения Общероссийской общественной организации "Федерация кикбоксинга России";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 при подготовке к международным соревнованиям по художественной гимнастике "</w:t>
            </w: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EVGENIYA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CUP"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проведены три встречи с председателем Омской региональной общественной организацией "Федерация художественной гимнастики";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- при подготовке к чемпионату России по спортивной борьбе (дисциплина греко-римская борьба) проведена встреча с президентом Омской региональной общественной организацией "Федерация спортивной борьбы Омской области".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В октябре 2024 года </w:t>
            </w:r>
            <w:r>
              <w:rPr>
                <w:rFonts w:eastAsia="Calibri" w:cs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МЭК 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совместно с ОРОО "Центр инноваций социальной сферы" проведен 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XIII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Международный форум социальных предпринимателей и инвесторов "ИННОСИБ-2024", в рамках которого обеспечено рассмотрение вопросов реализации региональных проектов, а также достижения национальных целей. В частности, 18 октября 2024 года организована панельная дискуссия "Социальный бизнес сегодня: как обеспечить достижение национальных целей". </w:t>
            </w:r>
            <w:r>
              <w:rPr>
                <w:rFonts w:eastAsia="Calibri" w:cs="Times New Roman" w:eastAsiaTheme="minorHAnsi"/>
                <w:color w:val="000000"/>
                <w:kern w:val="0"/>
                <w:sz w:val="24"/>
                <w:szCs w:val="24"/>
                <w:lang w:val="ru-RU" w:eastAsia="en-US" w:bidi="ar-SA"/>
              </w:rPr>
              <w:t>19 февраля 2025 года состоялась рабочая встреча Губернатора Омской области, Председателя Правительства Омской области В.П. Хоценко с членами бизнес-объединений Омской области в формате открытого диалога, в ходе которой рассмотрен вопрос "</w:t>
            </w:r>
            <w:r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Об участии в реализации национального проекта "Эффективная и конкурентная экономика".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Начиная с 2013 года </w:t>
            </w:r>
            <w:r>
              <w:rPr>
                <w:b w:val="false"/>
                <w:bCs w:val="false"/>
                <w:color w:val="000000"/>
                <w:sz w:val="24"/>
                <w:szCs w:val="24"/>
              </w:rPr>
              <w:t>МТСР</w:t>
            </w:r>
            <w:r>
              <w:rPr>
                <w:color w:val="000000"/>
                <w:sz w:val="24"/>
                <w:szCs w:val="24"/>
              </w:rPr>
              <w:t xml:space="preserve"> осуществляется работа по содействию развитию негосударственного рынка предоставления социальных услуг. Основным видом государственной поддержки является субсидирование юридических лиц и индивидуальных предпринимателей (далее – ИП) на финансовое обеспечение и возмещение затрат в сфере социальной политики. В развитие положений Федерального закона "Об основах социального обслуживания граждан в Российской Федерации" 6 апреля 2016 года принято постановление Правительства Омской области № 90-п "Об утверждении Порядка выплаты компенсации поставщику или поставщикам социальных услуг, которые включены в реестр поставщиков социальных услуг Омской области, но не участвуют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услуг" (далее – постановление № 90-п).</w:t>
              <w:br/>
              <w:t xml:space="preserve">С целью безвозмездного оказания реабилитационных услуг инвалидам, включая детей-инвалидов, юридическим лицам предоставляются субсидии в соответствии с постановлением Правительства Омской области от 18 января 2017 года № 5-п "Об утверждении Порядка предоставления субсидий в сфере социальной политики юридическим лицам (за исключением государственных (муниципальных) учреждений) и индивидуальным предпринимателям" (далее – постановление № 5-п). </w:t>
            </w:r>
            <w:r>
              <w:rPr>
                <w:color w:val="000000"/>
                <w:sz w:val="24"/>
                <w:szCs w:val="24"/>
                <w:shd w:fill="auto" w:val="clear"/>
              </w:rPr>
              <w:t xml:space="preserve">Дополнительно с 2016 года МТСР во взаимодействии с МЗДР реализуется мероприятие по проведению закупки у негосударственных реабилитационных центров услуг по социальной реабилитации за счет средств областного бюджета. В период с 2016 по 2024 год было организовано проведение долгосрочных курсов социальной реабилитации. Услуги по социальной реабилитации за счет средств областного бюджета получили </w:t>
            </w:r>
            <w:r>
              <w:rPr>
                <w:rFonts w:cs="Times New Roman"/>
                <w:i w:val="false"/>
                <w:iCs w:val="false"/>
                <w:color w:val="000000"/>
                <w:sz w:val="24"/>
                <w:szCs w:val="24"/>
                <w:shd w:fill="auto" w:val="clear"/>
              </w:rPr>
              <w:t xml:space="preserve">115 наркозависимых (почти для 20 процентов реабилитантов были организованы повторные курсы). Общий объем бюджетных средств, направленных на реализацию этой деятельности, составил почти 7,0 млн руб. </w:t>
            </w:r>
            <w:r>
              <w:rPr>
                <w:rFonts w:cs="Times New Roman"/>
                <w:color w:val="000000"/>
                <w:sz w:val="24"/>
                <w:szCs w:val="24"/>
              </w:rPr>
              <w:t>На реализацию этого мероприятия в 2025 году бюджетом Омской области предусмотрен 1,0 млн руб., что позволит организовать курс реабилитации для 15 человек.</w:t>
            </w:r>
            <w:r>
              <w:rPr>
                <w:color w:val="000000"/>
                <w:sz w:val="24"/>
                <w:szCs w:val="24"/>
              </w:rPr>
              <w:t>В течение 2024 года негосударственным организациям социального обслуживания, в том числе находящимся в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процессе создания и развития, </w:t>
            </w:r>
            <w:r>
              <w:rPr>
                <w:color w:val="000000"/>
                <w:sz w:val="24"/>
                <w:szCs w:val="24"/>
              </w:rPr>
              <w:t>оказаны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информационная, организационная поддержки, методическая поддержка как участников конкурсных отборов. На отраслевом сайте МТСР размещается информация по вопросам доступа негосударственных организаций к оказанию услуг в социальной сфере. </w:t>
            </w:r>
            <w:r>
              <w:rPr>
                <w:color w:val="000000"/>
                <w:sz w:val="24"/>
                <w:szCs w:val="24"/>
              </w:rPr>
              <w:t>Реализация перечисленных мероприятий способствует увеличению в Омской области количества негосударственных участников рынка социальных услуг, повышению качества предоставляемых социальных услуг, количества лиц, признанных нуждающимися в социальном обслуживании, получающих социальные услуги в негосударственных организациях социального обслуживания, оптимизации бюджетных расходов. В настоящее время региональный реестр поставщиков социальных услуг Омской области (далее соответственно – реестр, поставщик) включает 63 государственных поставщика (из них 62 организации, подведомственные МТСР, 1 организация – МОБР) и 34 негосударственных поставщика, в том числе:</w:t>
            </w:r>
          </w:p>
          <w:p>
            <w:pPr>
              <w:pStyle w:val="Western"/>
              <w:suppressAutoHyphens w:val="true"/>
              <w:spacing w:lineRule="auto" w:line="240" w:before="0" w:after="0"/>
              <w:ind w:hanging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- 15 СОНКО;</w:t>
            </w:r>
          </w:p>
          <w:p>
            <w:pPr>
              <w:pStyle w:val="Western"/>
              <w:shd w:val="clear" w:fill="FFFFFF"/>
              <w:suppressAutoHyphens w:val="true"/>
              <w:spacing w:lineRule="auto" w:line="240" w:before="0" w:after="0"/>
              <w:ind w:hanging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- 19 коммерческих организаций, из них: 6 обществ с ограниченной ответственностью, 12 ИП, 1 частная образовательная организация.</w:t>
            </w:r>
          </w:p>
          <w:p>
            <w:pPr>
              <w:pStyle w:val="Western"/>
              <w:shd w:val="clear" w:fill="FFFFFF"/>
              <w:suppressAutoHyphens w:val="true"/>
              <w:spacing w:lineRule="auto" w:line="240" w:before="0" w:after="0"/>
              <w:ind w:hanging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В течение 2024 года в реестр включены 3 негосударственных поставщика социальных услуг, в том числе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АНО "Вектор жизни", создавшая на территории Калачинского муниципального района центр социальной адаптации для бездомных граждан (с временным проживанием</w:t>
              <w:br/>
              <w:t>до 6 месяцев)</w:t>
            </w: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 на 15 мест, Ассоциация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"</w:t>
            </w: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Становление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" и ООО "Клиника "СВОБОДА", предоставляющие услуги по социальной адаптации больным наркоманией, прошедшим медицинскую реабилитацию в стационаре БУЗОО  "Наркологический диспансер" (одномоментно в полустационарных отделениях этих поставщиков услуги могут получать соответственно 8 и 6 человек). </w:t>
            </w: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Также дополнительно к существующим пансионатам для лиц пожилого возраста и инвалидов организовано 144 места, в том числе АНО 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"ЦСП "СКАЛА" организован пансионат в г. Называевске на 50 мест, ИП Сурмиловой С.П. –</w:t>
              <w:br/>
              <w:t xml:space="preserve">пансионат "Добрый дом-2" в г. Омске на 70 мест. </w:t>
            </w:r>
            <w:r>
              <w:rPr>
                <w:color w:val="000000"/>
                <w:sz w:val="24"/>
                <w:szCs w:val="24"/>
              </w:rPr>
              <w:t>В Омской области</w:t>
              <w:br/>
              <w:t xml:space="preserve">в 2024 году осуществляли деятельность 23 частных пансионата для престарелых и инвалидов, организованных 10 ИП, 3 некоммерческими и 1 коммерческой организациями, в которых получили социальное обслуживание 790 человек, признанных нуждающимися в социальном обслуживании. По состоянию на 1 мая 2025 года в частных пансионатах свободно 146 мест. Доля мест в частных пансионатах общего типа для лиц пожилого возраста и инвалидов (1 082 места) в общем числе мест (2 899) с государственными организациями общего типа (1 817 мест) составляет </w:t>
              <w:br/>
              <w:t>37 процентов.</w:t>
              <w:br/>
              <w:t>В настоящее время в Омской области действуют:</w:t>
            </w:r>
          </w:p>
          <w:p>
            <w:pPr>
              <w:pStyle w:val="Western"/>
              <w:shd w:val="clear" w:fill="FFFFFF"/>
              <w:suppressAutoHyphens w:val="true"/>
              <w:spacing w:lineRule="auto" w:line="240" w:before="0" w:after="0"/>
              <w:ind w:hanging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- 25 пансионатов общей мощностью 1 082 койко-места, в которых прожива</w:t>
            </w:r>
            <w:r>
              <w:rPr>
                <w:color w:val="000000"/>
                <w:sz w:val="24"/>
                <w:szCs w:val="24"/>
              </w:rPr>
              <w:t>ю</w:t>
            </w:r>
            <w:r>
              <w:rPr>
                <w:color w:val="000000"/>
                <w:sz w:val="24"/>
                <w:szCs w:val="24"/>
              </w:rPr>
              <w:t>т 936 человек, в том числе 648 получателей социальных услуг, признанных нуждающимися в социальном обслуживании;</w:t>
            </w:r>
          </w:p>
          <w:p>
            <w:pPr>
              <w:pStyle w:val="Western"/>
              <w:shd w:val="clear" w:fill="FFFFFF"/>
              <w:suppressAutoHyphens w:val="true"/>
              <w:spacing w:lineRule="auto" w:line="240" w:before="0" w:after="0"/>
              <w:ind w:hanging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- 7 негосударственных центров социальной адаптации для бездомных граждан на 112 койко-места, в которых проживают 52 получателя социальных услуг;</w:t>
            </w:r>
          </w:p>
          <w:p>
            <w:pPr>
              <w:pStyle w:val="Western"/>
              <w:suppressAutoHyphens w:val="true"/>
              <w:spacing w:lineRule="auto" w:line="240" w:before="0" w:after="0"/>
              <w:ind w:hanging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shd w:fill="auto" w:val="clear"/>
              </w:rPr>
              <w:t>- </w:t>
            </w: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10 организаций, оказывающих социально-реабилитационные услуги инвалидам, в том числе детям-инвалидам (на постоянной основе реабилитационные услуги в указанных организациях ежемесячно получают около 1 000 инвалидов, включая детей).</w:t>
            </w:r>
          </w:p>
          <w:p>
            <w:pPr>
              <w:pStyle w:val="Western"/>
              <w:suppressAutoHyphens w:val="true"/>
              <w:spacing w:lineRule="auto" w:line="240" w:before="0" w:after="0"/>
              <w:ind w:hanging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Удельный вес действующих негосударственных поставщиков социальных услуг, включенных в реестр (22), в общем числе действующих поставщиков всех форм собственности (85) на 1 мая 2025 года составляет 25 процентов.</w:t>
            </w:r>
          </w:p>
          <w:p>
            <w:pPr>
              <w:pStyle w:val="BodyTextFirstIndent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 xml:space="preserve">МТСР с марта 2025 года реализуется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</w:rPr>
              <w:t xml:space="preserve">мероприятие по созданию (оборудованию) рабочих мест для трудоустройства инвалидов, включенное в федеральный проект "Активные меры содействия занятости" национального проекта "Кадры" (далее соответственно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– мероприятие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</w:rPr>
              <w:t xml:space="preserve">). </w:t>
            </w:r>
            <w:r>
              <w:rPr>
                <w:b w:val="false"/>
                <w:bCs w:val="false"/>
                <w:i w:val="false"/>
                <w:iCs/>
                <w:caps w:val="false"/>
                <w:smallCaps w:val="false"/>
                <w:color w:val="22272F"/>
                <w:spacing w:val="0"/>
                <w:sz w:val="24"/>
                <w:szCs w:val="24"/>
              </w:rPr>
              <w:t>В рамках мероприятия осуществляется возмещение работодателям части расходов на оборудование рабочих мест для трудоустройства инвалидов</w:t>
              <w:br/>
              <w:t>I и II группы, а также ветеранов боевых действий, имеющих инвалидность</w:t>
              <w:br/>
              <w:t>I, II, III группы, в размере до 200 тыс. рублей на каждое рабочее место. НКО принимают участие в реализации мероприятия. Так, представители нескольких НКО включены в персональный состав комиссии по рассмотрению документов работодателей, претендующих на получение указанной меры финансовой поддержки, в частности:</w:t>
            </w:r>
          </w:p>
          <w:p>
            <w:pPr>
              <w:pStyle w:val="BodyTextFirstIndent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b w:val="false"/>
                <w:bCs w:val="false"/>
                <w:i/>
                <w:i/>
                <w:iCs/>
                <w:caps w:val="false"/>
                <w:smallCaps w:val="false"/>
                <w:color w:val="22272F"/>
                <w:spacing w:val="0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/>
                <w:caps w:val="false"/>
                <w:smallCaps w:val="false"/>
                <w:color w:val="22272F"/>
                <w:spacing w:val="0"/>
                <w:sz w:val="24"/>
                <w:szCs w:val="24"/>
              </w:rPr>
              <w:t>- Омской областной организации общероссийской общественной организации"Всероссийское общество инвалидов";</w:t>
            </w:r>
          </w:p>
          <w:p>
            <w:pPr>
              <w:pStyle w:val="BodyTextFirstIndent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b w:val="false"/>
                <w:bCs w:val="false"/>
                <w:i/>
                <w:i/>
                <w:iCs/>
                <w:caps w:val="false"/>
                <w:smallCaps w:val="false"/>
                <w:color w:val="22272F"/>
                <w:spacing w:val="0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/>
                <w:caps w:val="false"/>
                <w:smallCaps w:val="false"/>
                <w:color w:val="22272F"/>
                <w:spacing w:val="0"/>
                <w:sz w:val="24"/>
                <w:szCs w:val="24"/>
              </w:rPr>
              <w:t>- Омского регионального отделения Общероссийской общественной организации инвалидов "Всероссийской общество глухих";</w:t>
            </w:r>
          </w:p>
          <w:p>
            <w:pPr>
              <w:pStyle w:val="BodyTextFirstIndent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b w:val="false"/>
                <w:bCs w:val="false"/>
                <w:i/>
                <w:i/>
                <w:iCs/>
                <w:caps w:val="false"/>
                <w:smallCaps w:val="false"/>
                <w:color w:val="22272F"/>
                <w:spacing w:val="0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/>
                <w:caps w:val="false"/>
                <w:smallCaps w:val="false"/>
                <w:color w:val="22272F"/>
                <w:spacing w:val="0"/>
                <w:sz w:val="24"/>
                <w:szCs w:val="24"/>
              </w:rPr>
              <w:t xml:space="preserve">- Омской областной организации Общероссийской общественной </w:t>
            </w:r>
            <w:r>
              <w:rPr>
                <w:b w:val="false"/>
                <w:bCs w:val="false"/>
                <w:i w:val="false"/>
                <w:iCs w:val="false"/>
                <w:caps w:val="false"/>
                <w:smallCaps w:val="false"/>
                <w:color w:val="22272F"/>
                <w:spacing w:val="0"/>
                <w:sz w:val="24"/>
                <w:szCs w:val="24"/>
              </w:rPr>
              <w:t>организации инвалидов "Всероссийское ордена Красного знамени общество слепых".</w:t>
            </w:r>
          </w:p>
          <w:p>
            <w:pPr>
              <w:pStyle w:val="BodyTextFirstIndent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caps w:val="false"/>
                <w:smallCaps w:val="false"/>
                <w:color w:val="22272F"/>
                <w:spacing w:val="0"/>
                <w:sz w:val="24"/>
                <w:szCs w:val="24"/>
              </w:rPr>
              <w:t>Кроме того, НКО имеют право претендовать на получение указанной меры финансовой поддержки на общих основаниях с другими работодателями.</w:t>
            </w:r>
          </w:p>
          <w:p>
            <w:pPr>
              <w:pStyle w:val="BodyTextFirstIndent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 xml:space="preserve">В частности, в течение апреля </w:t>
            </w:r>
            <w:r>
              <w:rPr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 xml:space="preserve">– </w:t>
            </w:r>
            <w:r>
              <w:rPr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мая 2025 года воспользовались возможностью получить финансовую меру поддержки 2 НКО:</w:t>
            </w:r>
          </w:p>
          <w:p>
            <w:pPr>
              <w:pStyle w:val="BodyTextFirstIndent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cs="PT Astra Serif"/>
                <w:b w:val="false"/>
                <w:bCs w:val="false"/>
                <w:i w:val="false"/>
                <w:iCs w:val="false"/>
                <w:color w:val="000000"/>
                <w:spacing w:val="-6"/>
                <w:sz w:val="24"/>
                <w:szCs w:val="24"/>
              </w:rPr>
              <w:t>- О</w:t>
            </w:r>
            <w:r>
              <w:rPr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 xml:space="preserve">мская областная организация Общероссийской общественной организации инвалидов "Всероссийское ордена Трудового Красного Знамени общество слепых" </w:t>
            </w:r>
            <w:r>
              <w:rPr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на оборудование 1 рабочего места инвалида I группы по зрению в размере 195 тыс. рублей;</w:t>
            </w:r>
          </w:p>
          <w:p>
            <w:pPr>
              <w:pStyle w:val="BodyTextFirstIndent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- О</w:t>
            </w:r>
            <w:r>
              <w:rPr>
                <w:rFonts w:eastAsia="Calibri" w:cs="Times New Roman"/>
                <w:b w:val="false"/>
                <w:bCs w:val="false"/>
                <w:i w:val="false"/>
                <w:iCs/>
                <w:caps w:val="false"/>
                <w:smallCaps w:val="false"/>
                <w:color w:val="22272F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мская областная организация общероссийской общественной организации "Всероссийское общество инвалидов" </w:t>
            </w:r>
            <w:r>
              <w:rPr>
                <w:rFonts w:eastAsia="Calibri" w:cs="Times New Roman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на оборудование 1 рабочего места инвалида II группы в размере 96,9 тыс. рублей.</w:t>
            </w:r>
          </w:p>
          <w:p>
            <w:pPr>
              <w:pStyle w:val="Normal"/>
              <w:widowControl w:val="false"/>
              <w:suppressAutoHyphens w:val="true"/>
              <w:spacing w:lineRule="exact" w:line="266" w:before="0" w:after="0"/>
              <w:ind w:hanging="0"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В</w:t>
            </w:r>
            <w:r>
              <w:rPr>
                <w:rFonts w:eastAsia="Calibri" w:cs="Times New Roman"/>
                <w:bCs/>
                <w:color w:val="000000"/>
                <w:spacing w:val="-4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Омске</w:t>
            </w:r>
            <w:r>
              <w:rPr>
                <w:rFonts w:eastAsia="Calibri" w:cs="Times New Roman"/>
                <w:bCs/>
                <w:color w:val="000000"/>
                <w:spacing w:val="-5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22</w:t>
            </w:r>
            <w:r>
              <w:rPr>
                <w:rFonts w:eastAsia="Calibri" w:cs="Times New Roman"/>
                <w:bCs/>
                <w:color w:val="000000"/>
                <w:spacing w:val="-2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апреля</w:t>
            </w:r>
            <w:r>
              <w:rPr>
                <w:rFonts w:eastAsia="Calibri" w:cs="Times New Roman"/>
                <w:bCs/>
                <w:color w:val="000000"/>
                <w:spacing w:val="-4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2025</w:t>
            </w:r>
            <w:r>
              <w:rPr>
                <w:rFonts w:eastAsia="Calibri" w:cs="Times New Roman"/>
                <w:bCs/>
                <w:color w:val="000000"/>
                <w:spacing w:val="-3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1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г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ода</w:t>
            </w:r>
            <w:r>
              <w:rPr>
                <w:rFonts w:eastAsia="Calibri" w:cs="Times New Roman"/>
                <w:bCs/>
                <w:color w:val="000000"/>
                <w:spacing w:val="-5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1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на</w:t>
            </w:r>
            <w:r>
              <w:rPr>
                <w:rFonts w:eastAsia="Calibri" w:cs="Times New Roman"/>
                <w:bCs/>
                <w:color w:val="000000"/>
                <w:spacing w:val="-7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площадке</w:t>
            </w:r>
            <w:r>
              <w:rPr>
                <w:rFonts w:eastAsia="Calibri" w:cs="Times New Roman"/>
                <w:bCs/>
                <w:color w:val="000000"/>
                <w:spacing w:val="-6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открытого</w:t>
            </w:r>
            <w:r>
              <w:rPr>
                <w:rFonts w:eastAsia="Calibri" w:cs="Times New Roman"/>
                <w:bCs/>
                <w:color w:val="000000"/>
                <w:spacing w:val="45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молодежного</w:t>
            </w:r>
            <w:r>
              <w:rPr>
                <w:rFonts w:eastAsia="Calibri" w:cs="Times New Roman"/>
                <w:bCs/>
                <w:color w:val="000000"/>
                <w:spacing w:val="43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пространства</w:t>
            </w:r>
            <w:r>
              <w:rPr>
                <w:rFonts w:eastAsia="Calibri" w:cs="Times New Roman"/>
                <w:bCs/>
                <w:color w:val="000000"/>
                <w:spacing w:val="44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en-US" w:bidi="ar-SA"/>
              </w:rPr>
              <w:t>"</w:t>
            </w:r>
            <w:r>
              <w:rPr>
                <w:rFonts w:eastAsia="Calibri" w:cs="Times New Roman"/>
                <w:bCs/>
                <w:color w:val="000000"/>
                <w:spacing w:val="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306 квадратов</w:t>
            </w:r>
            <w:r>
              <w:rPr>
                <w:rFonts w:eastAsia="Times New Roman" w:cs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en-US" w:bidi="ar-SA"/>
              </w:rPr>
              <w:t xml:space="preserve">" (ул. Красный Путь, д. 11) </w:t>
            </w:r>
            <w:r>
              <w:rPr>
                <w:rFonts w:eastAsia="Times New Roman" w:cs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en-US" w:bidi="ar-SA"/>
              </w:rPr>
              <w:t xml:space="preserve">ГУМП </w:t>
            </w:r>
            <w:r>
              <w:rPr>
                <w:rFonts w:eastAsia="Times New Roman" w:cs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en-US" w:bidi="ar-SA"/>
              </w:rPr>
              <w:t>и бюджетным учреждением Омской области "Региональный молодежный центр" организована и проведена стратегическая сессия по разработке предложений по достижению национальной цели развития России в части вовлечения 45 процентов молодежи в добровольческую и общественную деятельность на территории Омской области. Участники: представители ГУМП, Ресурсного центра развития добровольчества Омской области, руководители Добро.центров, проректоры по воспитательной работе образовательных организаций высшего образования, председатель Ресурсного центра поддержки СОНКО, финалисты Международной премии #МЫВМЕСТЕ, представители региональных отделений федеральных добровольческих организаций, представители организаций социальной сферы и бизнеса. В рамках стратегической сессии рассмотрены следующие направления:</w:t>
            </w:r>
          </w:p>
          <w:p>
            <w:pPr>
              <w:pStyle w:val="Normal"/>
              <w:widowControl w:val="false"/>
              <w:suppressAutoHyphens w:val="true"/>
              <w:spacing w:lineRule="exact" w:line="266" w:before="0" w:after="0"/>
              <w:ind w:hanging="0"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en-US" w:bidi="ar-SA"/>
              </w:rPr>
              <w:t>- развитие инфраструктуры поддержки добровольчества, общественной деятельности и СОНКО;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Segoe UI Emoji"/>
                <w:color w:val="000000"/>
                <w:kern w:val="0"/>
                <w:sz w:val="24"/>
                <w:szCs w:val="24"/>
                <w:lang w:val="ru-RU" w:eastAsia="en-US" w:bidi="ar-SA"/>
              </w:rPr>
              <w:t>- ц</w:t>
            </w: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ифровизация </w:t>
            </w:r>
            <w:r>
              <w:rPr>
                <w:rFonts w:eastAsia="Times New Roman" w:cs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en-US" w:bidi="ar-SA"/>
              </w:rPr>
              <w:t>"</w:t>
            </w: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>третьего</w:t>
            </w:r>
            <w:r>
              <w:rPr>
                <w:rFonts w:eastAsia="Times New Roman" w:cs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en-US" w:bidi="ar-SA"/>
              </w:rPr>
              <w:t>"</w:t>
            </w: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сектора с учетом возможностей единой информационной системы Добро.рф;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Segoe UI Emoji"/>
                <w:color w:val="000000"/>
                <w:kern w:val="0"/>
                <w:sz w:val="24"/>
                <w:szCs w:val="24"/>
                <w:lang w:val="ru-RU" w:eastAsia="en-US" w:bidi="ar-SA"/>
              </w:rPr>
              <w:t>- в</w:t>
            </w: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>овлечение населения 30+ лет в добровольческую и общественную деятельность;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Segoe UI Emoji"/>
                <w:color w:val="000000"/>
                <w:kern w:val="0"/>
                <w:sz w:val="24"/>
                <w:szCs w:val="24"/>
                <w:lang w:val="ru-RU" w:eastAsia="en-US" w:bidi="ar-SA"/>
              </w:rPr>
              <w:t>- р</w:t>
            </w: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>азвитие корпоративной социальной ответственности, стимулирования работодателей к вовлечению сотрудников в корпоративные волонтерские и благотворительные проекты;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>- повышение организационного и кадрового потенциала представителей НКО и добровольческих (волонтерских) организаций;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>- выработка простых и массовых решений, которые позволят наиболее эффективно достичь показателя национальной цели.</w:t>
            </w:r>
          </w:p>
          <w:p>
            <w:pPr>
              <w:pStyle w:val="Normal"/>
              <w:widowControl w:val="false"/>
              <w:suppressAutoHyphens w:val="true"/>
              <w:spacing w:lineRule="exact" w:line="266" w:before="0" w:after="0"/>
              <w:ind w:hanging="0"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4"/>
                <w:szCs w:val="24"/>
                <w:u w:val="none"/>
                <w:shd w:fill="FFFFFF" w:val="clear"/>
                <w:em w:val="none"/>
                <w:lang w:val="ru-RU" w:eastAsia="en-US" w:bidi="ar-SA"/>
              </w:rPr>
              <w:t>Результаты стратегической сессии были представлены депутату Государственной Думы Федерального Собрания Российской Федерации, председателю Комитета по молодежной политике А.П. Метелеву, который находился в Омске с рабочим визитом. В формате открытого диалога обсудили индикаторы успеха и ключевые барьеры направлений, рассматриваемых в рамках стратегических сессий, определили задачи на ближайшую перспективу</w:t>
            </w:r>
          </w:p>
        </w:tc>
      </w:tr>
    </w:tbl>
    <w:p>
      <w:pPr>
        <w:pStyle w:val="ConsPlusNormal"/>
        <w:suppressAutoHyphens w:val="true"/>
        <w:ind w:firstLine="176"/>
        <w:jc w:val="right"/>
        <w:rPr/>
      </w:pPr>
      <w:r>
        <w:rPr/>
      </w:r>
    </w:p>
    <w:sectPr>
      <w:headerReference w:type="default" r:id="rId2"/>
      <w:type w:val="nextPage"/>
      <w:pgSz w:orient="landscape" w:w="16838" w:h="11906"/>
      <w:pgMar w:left="1134" w:right="737" w:gutter="0" w:header="284" w:top="680" w:footer="0" w:bottom="397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Tahoma"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Calibri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390432971"/>
    </w:sdtPr>
    <w:sdtContent>
      <w:p>
        <w:pPr>
          <w:pStyle w:val="Header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9</w:t>
        </w:r>
        <w:r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2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1140c"/>
    <w:pPr>
      <w:widowControl/>
      <w:suppressAutoHyphens w:val="false"/>
      <w:bidi w:val="0"/>
      <w:spacing w:lineRule="auto" w:line="276" w:before="0" w:after="20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8"/>
      <w:szCs w:val="22"/>
      <w:lang w:val="ru-RU" w:eastAsia="en-US" w:bidi="ar-SA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e128d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5">
    <w:name w:val="Heading 5"/>
    <w:basedOn w:val="Style18"/>
    <w:next w:val="BodyText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4d3a2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2426"/>
    <w:rPr>
      <w:color w:val="0000FF"/>
      <w:u w:val="single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4f4ad5"/>
    <w:rPr/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4f4ad5"/>
    <w:rPr/>
  </w:style>
  <w:style w:type="character" w:styleId="Apple-converted-space" w:customStyle="1">
    <w:name w:val="apple-converted-space"/>
    <w:basedOn w:val="DefaultParagraphFont"/>
    <w:qFormat/>
    <w:rsid w:val="00005d08"/>
    <w:rPr/>
  </w:style>
  <w:style w:type="character" w:styleId="Style15" w:customStyle="1">
    <w:name w:val="Гипертекстовая ссылка"/>
    <w:basedOn w:val="DefaultParagraphFont"/>
    <w:uiPriority w:val="99"/>
    <w:qFormat/>
    <w:rsid w:val="0004205c"/>
    <w:rPr>
      <w:b/>
      <w:bCs/>
      <w:color w:val="106BBE"/>
    </w:rPr>
  </w:style>
  <w:style w:type="character" w:styleId="Style16" w:customStyle="1">
    <w:name w:val="Основной текст с отступом Знак"/>
    <w:basedOn w:val="DefaultParagraphFont"/>
    <w:qFormat/>
    <w:rsid w:val="003561a1"/>
    <w:rPr>
      <w:rFonts w:eastAsia="Times New Roman" w:cs="Times New Roman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3561a1"/>
    <w:rPr>
      <w:b/>
      <w:bCs/>
      <w:color w:val="675830"/>
    </w:rPr>
  </w:style>
  <w:style w:type="character" w:styleId="2" w:customStyle="1">
    <w:name w:val="Заголовок 2 Знак"/>
    <w:basedOn w:val="DefaultParagraphFont"/>
    <w:uiPriority w:val="9"/>
    <w:qFormat/>
    <w:rsid w:val="00e128dc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Style17" w:customStyle="1">
    <w:name w:val="Основной текст_"/>
    <w:basedOn w:val="DefaultParagraphFont"/>
    <w:link w:val="1"/>
    <w:qFormat/>
    <w:rsid w:val="00b25ac9"/>
    <w:rPr>
      <w:sz w:val="27"/>
      <w:szCs w:val="27"/>
      <w:shd w:fill="FFFFFF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1b0f64"/>
    <w:rPr>
      <w:color w:themeColor="followedHyperlink" w:val="800080"/>
      <w:u w:val="single"/>
    </w:rPr>
  </w:style>
  <w:style w:type="character" w:styleId="Fontstyle01">
    <w:name w:val="fontstyle01"/>
    <w:qFormat/>
    <w:rPr>
      <w:rFonts w:ascii="TimesNewRomanPSMT;Times New Roman" w:hAnsi="TimesNewRomanPSMT;Times New Roman" w:cs="TimesNewRomanPSMT;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4d3a2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202426"/>
    <w:pPr>
      <w:spacing w:lineRule="auto" w:line="240"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rsid w:val="004f4ad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4"/>
    <w:uiPriority w:val="99"/>
    <w:semiHidden/>
    <w:unhideWhenUsed/>
    <w:rsid w:val="004f4ad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nsPlusNormal" w:customStyle="1">
    <w:name w:val="ConsPlusNormal"/>
    <w:qFormat/>
    <w:rsid w:val="00005d08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c83cfc"/>
    <w:pPr>
      <w:spacing w:before="0" w:after="200"/>
      <w:ind w:hanging="0" w:left="720"/>
      <w:contextualSpacing/>
    </w:pPr>
    <w:rPr>
      <w:rFonts w:ascii="Calibri" w:hAnsi="Calibri" w:eastAsia="Calibri" w:cs="Times New Roman"/>
      <w:color w:val="00000A"/>
      <w:sz w:val="22"/>
    </w:rPr>
  </w:style>
  <w:style w:type="paragraph" w:styleId="ConsPlusTitle" w:customStyle="1">
    <w:name w:val="ConsPlusTitle"/>
    <w:uiPriority w:val="99"/>
    <w:qFormat/>
    <w:rsid w:val="008f3e8e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8"/>
      <w:szCs w:val="28"/>
      <w:lang w:val="ru-RU" w:eastAsia="ru-RU" w:bidi="ar-SA"/>
    </w:rPr>
  </w:style>
  <w:style w:type="paragraph" w:styleId="BodyTextIndent">
    <w:name w:val="Body Text Indent"/>
    <w:basedOn w:val="Normal"/>
    <w:link w:val="Style16"/>
    <w:rsid w:val="003561a1"/>
    <w:pPr>
      <w:spacing w:lineRule="auto" w:line="360" w:before="0" w:after="0"/>
      <w:ind w:firstLine="709"/>
      <w:jc w:val="both"/>
    </w:pPr>
    <w:rPr>
      <w:rFonts w:eastAsia="Times New Roman" w:cs="Times New Roman"/>
      <w:szCs w:val="20"/>
      <w:lang w:eastAsia="ru-RU"/>
    </w:rPr>
  </w:style>
  <w:style w:type="paragraph" w:styleId="NoSpacing">
    <w:name w:val="No Spacing"/>
    <w:uiPriority w:val="1"/>
    <w:qFormat/>
    <w:rsid w:val="000c559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 w:customStyle="1">
    <w:name w:val="Основной текст1"/>
    <w:basedOn w:val="Normal"/>
    <w:link w:val="Style17"/>
    <w:qFormat/>
    <w:rsid w:val="00b25ac9"/>
    <w:pPr>
      <w:shd w:val="clear" w:color="auto" w:fill="FFFFFF"/>
      <w:spacing w:lineRule="atLeast" w:line="0" w:before="0" w:after="60"/>
    </w:pPr>
    <w:rPr>
      <w:sz w:val="27"/>
      <w:szCs w:val="27"/>
    </w:rPr>
  </w:style>
  <w:style w:type="paragraph" w:styleId="Default" w:customStyle="1">
    <w:name w:val="Default"/>
    <w:qFormat/>
    <w:rsid w:val="0093243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Style2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paragraph" w:styleId="ConsPlusNormal0">
    <w:name w:val="ConsPlusNormal_0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ahoma" w:cs="Noto Sans Devanagari;Times New Roman"/>
      <w:color w:val="000000"/>
      <w:kern w:val="0"/>
      <w:sz w:val="22"/>
      <w:szCs w:val="20"/>
      <w:lang w:val="ru-RU" w:eastAsia="zh-CN" w:bidi="hi-IN"/>
    </w:rPr>
  </w:style>
  <w:style w:type="paragraph" w:styleId="10">
    <w:name w:val="Обычный1_0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Tahoma" w:cs="Noto Sans Devanagari;Times New Roman"/>
      <w:color w:val="000000"/>
      <w:kern w:val="0"/>
      <w:sz w:val="24"/>
      <w:szCs w:val="20"/>
      <w:lang w:val="ru-RU" w:eastAsia="zh-CN" w:bidi="hi-IN"/>
    </w:rPr>
  </w:style>
  <w:style w:type="paragraph" w:styleId="Western">
    <w:name w:val="western"/>
    <w:basedOn w:val="Normal"/>
    <w:qFormat/>
    <w:pPr>
      <w:spacing w:before="280" w:after="142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BodyTextFirstIndent">
    <w:name w:val="Body Text First Indent"/>
    <w:basedOn w:val="Normal"/>
    <w:pPr>
      <w:ind w:firstLine="709" w:left="0" w:right="0"/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f65b3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5B8DD3-4E19-4C8F-A8D6-234CDB892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1616</TotalTime>
  <Application>LibreOffice/7.6.7.2$Linux_X86_64 LibreOffice_project/60$Build-2</Application>
  <AppVersion>15.0000</AppVersion>
  <Pages>9</Pages>
  <Words>2493</Words>
  <Characters>18064</Characters>
  <CharactersWithSpaces>20526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2018-03-29T05:34:00Z</dcterms:created>
  <dc:creator>ONBacevich</dc:creator>
  <dc:description/>
  <dc:language>ru-RU</dc:language>
  <cp:lastModifiedBy/>
  <cp:lastPrinted>2018-02-20T05:57:00Z</cp:lastPrinted>
  <dcterms:modified xsi:type="dcterms:W3CDTF">2025-06-05T11:57:38Z</dcterms:modified>
  <cp:revision>182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